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ind w:firstLine="0" w:firstLineChars="0"/>
        <w:rPr>
          <w:rFonts w:hint="eastAsia" w:ascii="黑体" w:hAnsi="黑体" w:eastAsia="黑体"/>
          <w:color w:val="auto"/>
          <w:sz w:val="32"/>
          <w:szCs w:val="32"/>
          <w:shd w:val="clear" w:color="auto" w:fill="auto"/>
          <w:lang w:val="en-US" w:eastAsia="zh-CN"/>
        </w:rPr>
      </w:pPr>
      <w:r>
        <w:rPr>
          <w:rFonts w:hint="eastAsia" w:ascii="黑体" w:hAnsi="黑体" w:eastAsia="黑体"/>
          <w:color w:val="auto"/>
          <w:sz w:val="32"/>
          <w:szCs w:val="32"/>
          <w:shd w:val="clear" w:color="auto" w:fill="auto"/>
        </w:rPr>
        <w:t>附件</w:t>
      </w:r>
      <w:r>
        <w:rPr>
          <w:rFonts w:hint="eastAsia" w:ascii="黑体" w:hAnsi="黑体" w:eastAsia="黑体"/>
          <w:color w:val="auto"/>
          <w:sz w:val="32"/>
          <w:szCs w:val="32"/>
          <w:shd w:val="clear" w:color="auto" w:fill="auto"/>
          <w:lang w:val="en-US" w:eastAsia="zh-CN"/>
        </w:rPr>
        <w:t>3</w:t>
      </w:r>
    </w:p>
    <w:p>
      <w:pPr>
        <w:pStyle w:val="5"/>
        <w:spacing w:before="0" w:beforeAutospacing="0" w:after="0" w:afterAutospacing="0" w:line="560" w:lineRule="exact"/>
        <w:ind w:firstLine="720"/>
        <w:jc w:val="both"/>
        <w:rPr>
          <w:rFonts w:hint="default" w:ascii="方正小标宋简体" w:hAnsi="仿宋" w:eastAsia="方正小标宋简体"/>
          <w:color w:val="auto"/>
          <w:w w:val="90"/>
          <w:sz w:val="44"/>
          <w:szCs w:val="44"/>
          <w:shd w:val="clear" w:color="auto" w:fill="auto"/>
          <w:lang w:val="en-US" w:eastAsia="zh-CN"/>
        </w:rPr>
      </w:pPr>
      <w:bookmarkStart w:id="0" w:name="_GoBack"/>
      <w:r>
        <w:rPr>
          <w:rFonts w:hint="eastAsia" w:ascii="方正小标宋简体" w:hAnsi="仿宋" w:eastAsia="方正小标宋简体"/>
          <w:color w:val="auto"/>
          <w:w w:val="90"/>
          <w:sz w:val="44"/>
          <w:szCs w:val="44"/>
          <w:shd w:val="clear" w:color="auto" w:fill="auto"/>
        </w:rPr>
        <w:t>《贵州省教育厅预算绩效指标体系》</w:t>
      </w:r>
      <w:r>
        <w:rPr>
          <w:rFonts w:hint="eastAsia" w:ascii="方正小标宋简体" w:hAnsi="仿宋" w:eastAsia="方正小标宋简体"/>
          <w:color w:val="auto"/>
          <w:w w:val="90"/>
          <w:sz w:val="44"/>
          <w:szCs w:val="44"/>
          <w:shd w:val="clear" w:color="auto" w:fill="auto"/>
          <w:lang w:val="en-US" w:eastAsia="zh-CN"/>
        </w:rPr>
        <w:t>说明</w:t>
      </w:r>
    </w:p>
    <w:bookmarkEnd w:id="0"/>
    <w:p>
      <w:pPr>
        <w:pStyle w:val="5"/>
        <w:spacing w:before="0" w:beforeAutospacing="0" w:after="0" w:afterAutospacing="0" w:line="560" w:lineRule="exact"/>
        <w:jc w:val="both"/>
        <w:rPr>
          <w:rFonts w:hint="eastAsia" w:ascii="仿宋_GB2312" w:hAnsi="仿宋" w:eastAsia="仿宋_GB2312"/>
          <w:color w:val="auto"/>
          <w:sz w:val="32"/>
          <w:szCs w:val="32"/>
          <w:shd w:val="clear" w:color="auto" w:fill="auto"/>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为提高预算绩效管理水平</w:t>
      </w:r>
      <w:r>
        <w:rPr>
          <w:rFonts w:hint="eastAsia" w:ascii="仿宋_GB2312" w:hAnsi="仿宋" w:eastAsia="仿宋_GB2312"/>
          <w:color w:val="auto"/>
          <w:sz w:val="32"/>
          <w:szCs w:val="32"/>
          <w:shd w:val="clear" w:color="auto" w:fill="auto"/>
          <w:lang w:eastAsia="zh-CN"/>
        </w:rPr>
        <w:t>，</w:t>
      </w:r>
      <w:r>
        <w:rPr>
          <w:rFonts w:hint="eastAsia" w:ascii="仿宋_GB2312" w:hAnsi="仿宋" w:eastAsia="仿宋_GB2312"/>
          <w:color w:val="auto"/>
          <w:sz w:val="32"/>
          <w:szCs w:val="32"/>
          <w:shd w:val="clear" w:color="auto" w:fill="auto"/>
        </w:rPr>
        <w:t>深入贯彻落实</w:t>
      </w:r>
      <w:r>
        <w:rPr>
          <w:rFonts w:hint="eastAsia" w:ascii="仿宋_GB2312" w:hAnsi="仿宋" w:eastAsia="仿宋_GB2312"/>
          <w:color w:val="auto"/>
          <w:sz w:val="32"/>
          <w:szCs w:val="32"/>
          <w:shd w:val="clear" w:color="auto" w:fill="auto"/>
          <w:lang w:val="en-US" w:eastAsia="zh-CN"/>
        </w:rPr>
        <w:t>《</w:t>
      </w:r>
      <w:r>
        <w:rPr>
          <w:rFonts w:hint="eastAsia" w:ascii="仿宋_GB2312" w:hAnsi="仿宋" w:eastAsia="仿宋_GB2312"/>
          <w:color w:val="auto"/>
          <w:sz w:val="32"/>
          <w:szCs w:val="32"/>
          <w:shd w:val="clear" w:color="auto" w:fill="auto"/>
        </w:rPr>
        <w:t>中共贵州省委贵州省人民政府关于全面实施预算绩效管理的实施意见》</w:t>
      </w:r>
      <w:r>
        <w:rPr>
          <w:rFonts w:hint="eastAsia" w:ascii="仿宋_GB2312" w:hAnsi="仿宋" w:eastAsia="仿宋_GB2312"/>
          <w:color w:val="auto"/>
          <w:sz w:val="32"/>
          <w:szCs w:val="32"/>
          <w:shd w:val="clear" w:color="auto" w:fill="auto"/>
          <w:lang w:eastAsia="zh-CN"/>
        </w:rPr>
        <w:t>《</w:t>
      </w:r>
      <w:r>
        <w:rPr>
          <w:rFonts w:hint="eastAsia" w:ascii="仿宋_GB2312" w:hAnsi="仿宋" w:eastAsia="仿宋_GB2312"/>
          <w:color w:val="auto"/>
          <w:sz w:val="32"/>
          <w:szCs w:val="32"/>
          <w:shd w:val="clear" w:color="auto" w:fill="auto"/>
          <w:lang w:val="en-US" w:eastAsia="zh-CN"/>
        </w:rPr>
        <w:t>省财政厅关于建立省级预算部门预算绩效指标和标准体系的通知》和</w:t>
      </w:r>
      <w:r>
        <w:rPr>
          <w:rFonts w:hint="eastAsia" w:ascii="仿宋_GB2312" w:hAnsi="仿宋" w:eastAsia="仿宋_GB2312"/>
          <w:color w:val="auto"/>
          <w:sz w:val="32"/>
          <w:szCs w:val="32"/>
          <w:shd w:val="clear" w:color="auto" w:fill="auto"/>
          <w:lang w:eastAsia="zh-CN"/>
        </w:rPr>
        <w:t>《</w:t>
      </w:r>
      <w:r>
        <w:rPr>
          <w:rFonts w:hint="eastAsia" w:ascii="仿宋_GB2312" w:hAnsi="仿宋" w:eastAsia="仿宋_GB2312"/>
          <w:color w:val="auto"/>
          <w:sz w:val="32"/>
          <w:szCs w:val="32"/>
          <w:shd w:val="clear" w:color="auto" w:fill="auto"/>
          <w:lang w:val="en-US" w:eastAsia="zh-CN"/>
        </w:rPr>
        <w:t>贵州省教育厅预算绩效管理实施办法》等文件精神</w:t>
      </w:r>
      <w:r>
        <w:rPr>
          <w:rFonts w:hint="eastAsia" w:ascii="仿宋_GB2312" w:hAnsi="仿宋" w:eastAsia="仿宋_GB2312"/>
          <w:color w:val="auto"/>
          <w:sz w:val="32"/>
          <w:szCs w:val="32"/>
          <w:shd w:val="clear" w:color="auto" w:fill="auto"/>
        </w:rPr>
        <w:t>，</w:t>
      </w:r>
      <w:r>
        <w:rPr>
          <w:rFonts w:hint="eastAsia" w:ascii="仿宋_GB2312" w:hAnsi="仿宋" w:eastAsia="仿宋_GB2312"/>
          <w:color w:val="auto"/>
          <w:sz w:val="32"/>
          <w:szCs w:val="32"/>
          <w:shd w:val="clear" w:color="auto" w:fill="auto"/>
          <w:lang w:val="en-US" w:eastAsia="zh-CN"/>
        </w:rPr>
        <w:t>省教育厅拟定了</w:t>
      </w:r>
      <w:r>
        <w:rPr>
          <w:rFonts w:hint="eastAsia" w:ascii="仿宋_GB2312" w:hAnsi="仿宋" w:eastAsia="仿宋_GB2312"/>
          <w:color w:val="auto"/>
          <w:sz w:val="32"/>
          <w:szCs w:val="32"/>
          <w:shd w:val="clear" w:color="auto" w:fill="auto"/>
        </w:rPr>
        <w:t>《贵州省教育厅预算绩效指标体系》(以下简称《指标体系》)</w:t>
      </w:r>
      <w:r>
        <w:rPr>
          <w:rFonts w:hint="eastAsia" w:ascii="仿宋_GB2312" w:hAnsi="仿宋" w:eastAsia="仿宋_GB2312"/>
          <w:color w:val="auto"/>
          <w:sz w:val="32"/>
          <w:szCs w:val="32"/>
          <w:shd w:val="clear" w:color="auto" w:fill="auto"/>
          <w:lang w:eastAsia="zh-CN"/>
        </w:rPr>
        <w:t>，</w:t>
      </w:r>
      <w:r>
        <w:rPr>
          <w:rFonts w:hint="eastAsia" w:ascii="仿宋_GB2312" w:hAnsi="仿宋" w:eastAsia="仿宋_GB2312"/>
          <w:color w:val="auto"/>
          <w:sz w:val="32"/>
          <w:szCs w:val="32"/>
          <w:shd w:val="clear" w:color="auto" w:fill="auto"/>
          <w:lang w:val="en-US" w:eastAsia="zh-CN"/>
        </w:rPr>
        <w:t>现将相关情况说明如下：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黑体" w:hAnsi="黑体" w:eastAsia="黑体"/>
          <w:color w:val="auto"/>
          <w:sz w:val="32"/>
          <w:szCs w:val="32"/>
          <w:shd w:val="clear" w:color="auto" w:fill="auto"/>
        </w:rPr>
      </w:pPr>
      <w:r>
        <w:rPr>
          <w:rFonts w:hint="eastAsia" w:ascii="黑体" w:hAnsi="黑体" w:eastAsia="黑体"/>
          <w:color w:val="auto"/>
          <w:sz w:val="32"/>
          <w:szCs w:val="32"/>
          <w:shd w:val="clear" w:color="auto" w:fill="auto"/>
        </w:rPr>
        <w:t>一、主要原则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一)内容完整、层次分明。《指标体系》包括通用类项目绩效指标体系、专项支出类项目绩效指标体系两大部分。从横向看，《指标体系》包括部门职责和资金用途两级，对应预算项目支出方向。从纵向看，绩效指标体系分为三级，一、二级指标按照省财政厅印发的指标框架设置，三级指标体现各行业各领域预算支出核心产出和效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二)量化可比、简便易行。绩效指标和标准主要根据相关法律法规、部门职责、战略规划、相关政策制度办法等设定。根据不同预算支出对象的特点设置绩效指标和标准，以定量指标为主、定性指标为辅，力争做到绩效指标可采集、可衡量、可比较，操作简便、实用性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(三)共建共享、动态管理。《指标体系》由</w:t>
      </w:r>
      <w:r>
        <w:rPr>
          <w:rFonts w:hint="eastAsia" w:ascii="仿宋_GB2312" w:eastAsia="仿宋_GB2312"/>
          <w:color w:val="auto"/>
          <w:sz w:val="32"/>
          <w:szCs w:val="32"/>
          <w:shd w:val="clear" w:color="auto" w:fill="auto"/>
        </w:rPr>
        <w:t>各</w:t>
      </w:r>
      <w:r>
        <w:rPr>
          <w:rFonts w:hint="eastAsia" w:ascii="仿宋_GB2312" w:eastAsia="仿宋_GB2312"/>
          <w:color w:val="auto"/>
          <w:sz w:val="32"/>
          <w:szCs w:val="32"/>
          <w:shd w:val="clear" w:color="auto" w:fill="auto"/>
          <w:lang w:val="en-US" w:eastAsia="zh-CN"/>
        </w:rPr>
        <w:t>地各校和厅相关</w:t>
      </w:r>
      <w:r>
        <w:rPr>
          <w:rFonts w:hint="eastAsia" w:ascii="仿宋_GB2312" w:eastAsia="仿宋_GB2312"/>
          <w:color w:val="auto"/>
          <w:sz w:val="32"/>
          <w:szCs w:val="32"/>
          <w:shd w:val="clear" w:color="auto" w:fill="auto"/>
        </w:rPr>
        <w:t>处室（单位）</w:t>
      </w:r>
      <w:r>
        <w:rPr>
          <w:rFonts w:hint="eastAsia" w:ascii="仿宋_GB2312" w:hAnsi="仿宋" w:eastAsia="仿宋_GB2312"/>
          <w:color w:val="auto"/>
          <w:sz w:val="32"/>
          <w:szCs w:val="32"/>
          <w:shd w:val="clear" w:color="auto" w:fill="auto"/>
        </w:rPr>
        <w:t>共同使用和维护，动态更新完善，持续提升预算绩效指标和标准的科学性、完整性和准确性。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黑体" w:hAnsi="黑体" w:eastAsia="黑体"/>
          <w:color w:val="auto"/>
          <w:sz w:val="32"/>
          <w:szCs w:val="32"/>
          <w:shd w:val="clear" w:color="auto" w:fill="auto"/>
        </w:rPr>
      </w:pPr>
      <w:r>
        <w:rPr>
          <w:rFonts w:hint="eastAsia" w:ascii="黑体" w:hAnsi="黑体" w:eastAsia="黑体"/>
          <w:color w:val="auto"/>
          <w:sz w:val="32"/>
          <w:szCs w:val="32"/>
          <w:shd w:val="clear" w:color="auto" w:fill="auto"/>
        </w:rPr>
        <w:t>二、指标体系的内容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(一)通用类项目绩效指标体系。用于衡量各单位（处室）共性支出的产出和效果，目前共设置办公用房维修改造、督导调研、课题研究、设备购置、信息化建设及运维、组织会议、组织培训、组织宣传8个类别。</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(二) 专项支出类项目效指标体系。涉及省教育厅3</w:t>
      </w:r>
      <w:r>
        <w:rPr>
          <w:rFonts w:hint="eastAsia" w:ascii="仿宋_GB2312" w:hAnsi="仿宋" w:eastAsia="仿宋_GB2312"/>
          <w:color w:val="auto"/>
          <w:sz w:val="32"/>
          <w:szCs w:val="32"/>
          <w:shd w:val="clear" w:color="auto" w:fill="auto"/>
          <w:lang w:val="en-US" w:eastAsia="zh-CN"/>
        </w:rPr>
        <w:t>5</w:t>
      </w:r>
      <w:r>
        <w:rPr>
          <w:rFonts w:hint="eastAsia" w:ascii="仿宋_GB2312" w:hAnsi="仿宋" w:eastAsia="仿宋_GB2312"/>
          <w:color w:val="auto"/>
          <w:sz w:val="32"/>
          <w:szCs w:val="32"/>
          <w:shd w:val="clear" w:color="auto" w:fill="auto"/>
        </w:rPr>
        <w:t>类专项支出绩效指标(详见《指标体系》)。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(三)绩效指标具体信息。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_GB2312" w:hAnsi="仿宋" w:eastAsia="仿宋_GB2312"/>
          <w:color w:val="auto"/>
          <w:sz w:val="32"/>
          <w:szCs w:val="32"/>
          <w:shd w:val="clear" w:color="auto" w:fill="auto"/>
        </w:rPr>
      </w:pPr>
      <w:r>
        <w:rPr>
          <w:rFonts w:hint="eastAsia" w:ascii="仿宋_GB2312" w:hAnsi="仿宋" w:eastAsia="仿宋_GB2312"/>
          <w:color w:val="auto"/>
          <w:sz w:val="32"/>
          <w:szCs w:val="32"/>
          <w:shd w:val="clear" w:color="auto" w:fill="auto"/>
        </w:rPr>
        <w:t>《指标体系》设置了若干信息项，包括支出分类、绩效指标、绩效标准等，基本框架见下图：</w:t>
      </w:r>
    </w:p>
    <w:p>
      <w:pPr>
        <w:pStyle w:val="5"/>
        <w:spacing w:before="0" w:beforeAutospacing="0" w:after="0" w:afterAutospacing="0" w:line="560" w:lineRule="exact"/>
        <w:ind w:firstLine="643"/>
        <w:jc w:val="center"/>
        <w:rPr>
          <w:rFonts w:hint="eastAsia" w:ascii="仿宋_GB2312" w:hAnsi="仿宋" w:eastAsia="仿宋_GB2312"/>
          <w:b/>
          <w:color w:val="auto"/>
          <w:sz w:val="32"/>
          <w:szCs w:val="32"/>
          <w:shd w:val="clear" w:color="auto" w:fill="auto"/>
        </w:rPr>
      </w:pPr>
      <w:r>
        <w:rPr>
          <w:rFonts w:hint="eastAsia" w:ascii="仿宋_GB2312" w:hAnsi="仿宋" w:eastAsia="仿宋_GB2312"/>
          <w:b/>
          <w:color w:val="auto"/>
          <w:sz w:val="32"/>
          <w:szCs w:val="32"/>
          <w:shd w:val="clear" w:color="auto" w:fill="auto"/>
        </w:rPr>
        <w:t>表1：《指标体系》各信息项具体解释</w:t>
      </w:r>
    </w:p>
    <w:tbl>
      <w:tblPr>
        <w:tblStyle w:val="6"/>
        <w:tblW w:w="9072" w:type="dxa"/>
        <w:tblInd w:w="108" w:type="dxa"/>
        <w:tblLayout w:type="fixed"/>
        <w:tblCellMar>
          <w:top w:w="0" w:type="dxa"/>
          <w:left w:w="108" w:type="dxa"/>
          <w:bottom w:w="0" w:type="dxa"/>
          <w:right w:w="108" w:type="dxa"/>
        </w:tblCellMar>
      </w:tblPr>
      <w:tblGrid>
        <w:gridCol w:w="709"/>
        <w:gridCol w:w="1276"/>
        <w:gridCol w:w="7087"/>
      </w:tblGrid>
      <w:tr>
        <w:tblPrEx>
          <w:tblLayout w:type="fixed"/>
          <w:tblCellMar>
            <w:top w:w="0" w:type="dxa"/>
            <w:left w:w="108" w:type="dxa"/>
            <w:bottom w:w="0" w:type="dxa"/>
            <w:right w:w="108" w:type="dxa"/>
          </w:tblCellMar>
        </w:tblPrEx>
        <w:trPr>
          <w:trHeight w:val="525"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color w:val="auto"/>
                <w:kern w:val="0"/>
                <w:sz w:val="24"/>
                <w:szCs w:val="24"/>
                <w:shd w:val="clear" w:color="auto" w:fill="auto"/>
              </w:rPr>
            </w:pPr>
            <w:r>
              <w:rPr>
                <w:rFonts w:hint="eastAsia" w:cs="宋体"/>
                <w:color w:val="auto"/>
                <w:kern w:val="0"/>
                <w:sz w:val="24"/>
                <w:szCs w:val="24"/>
                <w:shd w:val="clear" w:color="auto" w:fill="auto"/>
              </w:rPr>
              <w:t>信息项</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color w:val="auto"/>
                <w:kern w:val="0"/>
                <w:sz w:val="24"/>
                <w:szCs w:val="24"/>
                <w:shd w:val="clear" w:color="auto" w:fill="auto"/>
              </w:rPr>
            </w:pPr>
            <w:r>
              <w:rPr>
                <w:rFonts w:hint="eastAsia" w:cs="宋体"/>
                <w:color w:val="auto"/>
                <w:kern w:val="0"/>
                <w:sz w:val="24"/>
                <w:szCs w:val="24"/>
                <w:shd w:val="clear" w:color="auto" w:fill="auto"/>
              </w:rPr>
              <w:t>具体解释</w:t>
            </w:r>
          </w:p>
        </w:tc>
      </w:tr>
      <w:tr>
        <w:tblPrEx>
          <w:tblLayout w:type="fixed"/>
          <w:tblCellMar>
            <w:top w:w="0" w:type="dxa"/>
            <w:left w:w="108" w:type="dxa"/>
            <w:bottom w:w="0" w:type="dxa"/>
            <w:right w:w="108" w:type="dxa"/>
          </w:tblCellMar>
        </w:tblPrEx>
        <w:trPr>
          <w:trHeight w:val="383" w:hRule="atLeast"/>
        </w:trPr>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支出分类</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部门职责</w:t>
            </w:r>
          </w:p>
        </w:tc>
        <w:tc>
          <w:tcPr>
            <w:tcW w:w="708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对标各单位（处室）工作职业</w:t>
            </w:r>
          </w:p>
        </w:tc>
      </w:tr>
      <w:tr>
        <w:tblPrEx>
          <w:tblLayout w:type="fixed"/>
          <w:tblCellMar>
            <w:top w:w="0" w:type="dxa"/>
            <w:left w:w="108" w:type="dxa"/>
            <w:bottom w:w="0" w:type="dxa"/>
            <w:right w:w="108" w:type="dxa"/>
          </w:tblCellMar>
        </w:tblPrEx>
        <w:trPr>
          <w:trHeight w:val="503"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资金用途</w:t>
            </w:r>
          </w:p>
        </w:tc>
        <w:tc>
          <w:tcPr>
            <w:tcW w:w="708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对标预算项目支出方向</w:t>
            </w:r>
          </w:p>
        </w:tc>
      </w:tr>
      <w:tr>
        <w:tblPrEx>
          <w:tblLayout w:type="fixed"/>
          <w:tblCellMar>
            <w:top w:w="0" w:type="dxa"/>
            <w:left w:w="108" w:type="dxa"/>
            <w:bottom w:w="0" w:type="dxa"/>
            <w:right w:w="108" w:type="dxa"/>
          </w:tblCellMar>
        </w:tblPrEx>
        <w:trPr>
          <w:trHeight w:val="570" w:hRule="atLeast"/>
        </w:trPr>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绩效指标</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一级指标</w:t>
            </w:r>
          </w:p>
        </w:tc>
        <w:tc>
          <w:tcPr>
            <w:tcW w:w="708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统一分类，主要包括产出指标、效益指标、满意度指标等</w:t>
            </w:r>
          </w:p>
        </w:tc>
      </w:tr>
      <w:tr>
        <w:tblPrEx>
          <w:tblLayout w:type="fixed"/>
          <w:tblCellMar>
            <w:top w:w="0" w:type="dxa"/>
            <w:left w:w="108" w:type="dxa"/>
            <w:bottom w:w="0" w:type="dxa"/>
            <w:right w:w="108" w:type="dxa"/>
          </w:tblCellMar>
        </w:tblPrEx>
        <w:trPr>
          <w:trHeight w:val="102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二级指标</w:t>
            </w:r>
          </w:p>
        </w:tc>
        <w:tc>
          <w:tcPr>
            <w:tcW w:w="708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统一分类，主要包括分为数量指标、质量指标、时效指标、成本指标、经济效益指标、社会效益指标、生态效益指标、可持续影响指标、服务对象满意度指标等</w:t>
            </w:r>
          </w:p>
        </w:tc>
      </w:tr>
      <w:tr>
        <w:tblPrEx>
          <w:tblLayout w:type="fixed"/>
          <w:tblCellMar>
            <w:top w:w="0" w:type="dxa"/>
            <w:left w:w="108" w:type="dxa"/>
            <w:bottom w:w="0" w:type="dxa"/>
            <w:right w:w="108" w:type="dxa"/>
          </w:tblCellMar>
        </w:tblPrEx>
        <w:trPr>
          <w:trHeight w:val="509"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三级指标</w:t>
            </w:r>
          </w:p>
        </w:tc>
        <w:tc>
          <w:tcPr>
            <w:tcW w:w="708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分行业分领域的个性指标，定量三级指标中设置指标性质、单位</w:t>
            </w:r>
          </w:p>
        </w:tc>
      </w:tr>
      <w:tr>
        <w:tblPrEx>
          <w:tblLayout w:type="fixed"/>
          <w:tblCellMar>
            <w:top w:w="0" w:type="dxa"/>
            <w:left w:w="108" w:type="dxa"/>
            <w:bottom w:w="0" w:type="dxa"/>
            <w:right w:w="108" w:type="dxa"/>
          </w:tblCellMar>
        </w:tblPrEx>
        <w:trPr>
          <w:trHeight w:val="57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评分标准</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评价标准</w:t>
            </w:r>
          </w:p>
        </w:tc>
        <w:tc>
          <w:tcPr>
            <w:tcW w:w="708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指标考核标准</w:t>
            </w:r>
          </w:p>
        </w:tc>
      </w:tr>
      <w:tr>
        <w:tblPrEx>
          <w:tblLayout w:type="fixed"/>
          <w:tblCellMar>
            <w:top w:w="0" w:type="dxa"/>
            <w:left w:w="108" w:type="dxa"/>
            <w:bottom w:w="0" w:type="dxa"/>
            <w:right w:w="108" w:type="dxa"/>
          </w:tblCellMar>
        </w:tblPrEx>
        <w:trPr>
          <w:trHeight w:val="472" w:hRule="atLeast"/>
        </w:trPr>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指标取值</w:t>
            </w: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计划标准</w:t>
            </w:r>
          </w:p>
        </w:tc>
        <w:tc>
          <w:tcPr>
            <w:tcW w:w="708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制定预算时的计划数</w:t>
            </w:r>
          </w:p>
        </w:tc>
      </w:tr>
      <w:tr>
        <w:tblPrEx>
          <w:tblLayout w:type="fixed"/>
          <w:tblCellMar>
            <w:top w:w="0" w:type="dxa"/>
            <w:left w:w="108" w:type="dxa"/>
            <w:bottom w:w="0" w:type="dxa"/>
            <w:right w:w="108" w:type="dxa"/>
          </w:tblCellMar>
        </w:tblPrEx>
        <w:trPr>
          <w:trHeight w:val="466"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历史标准</w:t>
            </w:r>
          </w:p>
        </w:tc>
        <w:tc>
          <w:tcPr>
            <w:tcW w:w="708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历史年度完成值或前三年平均值</w:t>
            </w:r>
          </w:p>
        </w:tc>
      </w:tr>
      <w:tr>
        <w:tblPrEx>
          <w:tblLayout w:type="fixed"/>
          <w:tblCellMar>
            <w:top w:w="0" w:type="dxa"/>
            <w:left w:w="108" w:type="dxa"/>
            <w:bottom w:w="0" w:type="dxa"/>
            <w:right w:w="108" w:type="dxa"/>
          </w:tblCellMar>
        </w:tblPrEx>
        <w:trPr>
          <w:trHeight w:val="460" w:hRule="atLeast"/>
        </w:trPr>
        <w:tc>
          <w:tcPr>
            <w:tcW w:w="709"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p>
        </w:tc>
        <w:tc>
          <w:tcPr>
            <w:tcW w:w="1276"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其他标准</w:t>
            </w:r>
          </w:p>
        </w:tc>
        <w:tc>
          <w:tcPr>
            <w:tcW w:w="7087" w:type="dxa"/>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仿宋_GB2312" w:hAnsi="宋体" w:eastAsia="仿宋_GB2312" w:cs="宋体"/>
                <w:color w:val="auto"/>
                <w:kern w:val="0"/>
                <w:sz w:val="24"/>
                <w:szCs w:val="24"/>
                <w:shd w:val="clear" w:color="auto" w:fill="auto"/>
              </w:rPr>
            </w:pPr>
            <w:r>
              <w:rPr>
                <w:rFonts w:hint="eastAsia" w:ascii="仿宋_GB2312" w:hAnsi="宋体" w:eastAsia="仿宋_GB2312" w:cs="宋体"/>
                <w:color w:val="auto"/>
                <w:kern w:val="0"/>
                <w:sz w:val="24"/>
                <w:szCs w:val="24"/>
                <w:shd w:val="clear" w:color="auto" w:fill="auto"/>
              </w:rPr>
              <w:t>现场评价时采集的实际数</w:t>
            </w:r>
          </w:p>
        </w:tc>
      </w:tr>
    </w:tbl>
    <w:p>
      <w:pPr>
        <w:pStyle w:val="5"/>
        <w:spacing w:before="0" w:beforeAutospacing="0" w:after="0" w:afterAutospacing="0" w:line="560" w:lineRule="exact"/>
        <w:ind w:firstLine="0" w:firstLineChars="0"/>
        <w:jc w:val="both"/>
        <w:rPr>
          <w:rFonts w:ascii="仿宋_GB2312" w:eastAsia="仿宋_GB2312"/>
          <w:sz w:val="32"/>
          <w:szCs w:val="32"/>
          <w:shd w:val="clear" w:color="auto" w:fill="auto"/>
        </w:rPr>
      </w:pPr>
    </w:p>
    <w:sectPr>
      <w:headerReference r:id="rId4" w:type="first"/>
      <w:footerReference r:id="rId7" w:type="first"/>
      <w:footerReference r:id="rId5" w:type="default"/>
      <w:headerReference r:id="rId3" w:type="even"/>
      <w:footerReference r:id="rId6" w:type="even"/>
      <w:pgSz w:w="11906" w:h="16838"/>
      <w:pgMar w:top="1985" w:right="1474" w:bottom="1871"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3932"/>
    <w:rsid w:val="000505E5"/>
    <w:rsid w:val="000C42D3"/>
    <w:rsid w:val="0010614A"/>
    <w:rsid w:val="00181B8E"/>
    <w:rsid w:val="00182707"/>
    <w:rsid w:val="001A3BF6"/>
    <w:rsid w:val="001B2F3E"/>
    <w:rsid w:val="001F1B5B"/>
    <w:rsid w:val="0020382A"/>
    <w:rsid w:val="002339BD"/>
    <w:rsid w:val="002F2C56"/>
    <w:rsid w:val="00331B47"/>
    <w:rsid w:val="003417AB"/>
    <w:rsid w:val="00347C58"/>
    <w:rsid w:val="00382CAC"/>
    <w:rsid w:val="00390DC6"/>
    <w:rsid w:val="003F61DB"/>
    <w:rsid w:val="00401191"/>
    <w:rsid w:val="0040677D"/>
    <w:rsid w:val="004102D1"/>
    <w:rsid w:val="0047125A"/>
    <w:rsid w:val="004D1338"/>
    <w:rsid w:val="004F3CB2"/>
    <w:rsid w:val="00505BAD"/>
    <w:rsid w:val="0053335D"/>
    <w:rsid w:val="005370A3"/>
    <w:rsid w:val="00542372"/>
    <w:rsid w:val="005476C2"/>
    <w:rsid w:val="0055536E"/>
    <w:rsid w:val="0055591A"/>
    <w:rsid w:val="005730B2"/>
    <w:rsid w:val="00582761"/>
    <w:rsid w:val="0059028F"/>
    <w:rsid w:val="005905FA"/>
    <w:rsid w:val="00591A8F"/>
    <w:rsid w:val="00593932"/>
    <w:rsid w:val="005B4FD5"/>
    <w:rsid w:val="005B52EC"/>
    <w:rsid w:val="005D77E9"/>
    <w:rsid w:val="00655940"/>
    <w:rsid w:val="00663A27"/>
    <w:rsid w:val="006F2EBD"/>
    <w:rsid w:val="00724AB9"/>
    <w:rsid w:val="007250DB"/>
    <w:rsid w:val="00734087"/>
    <w:rsid w:val="00736419"/>
    <w:rsid w:val="00773920"/>
    <w:rsid w:val="00781148"/>
    <w:rsid w:val="007C2352"/>
    <w:rsid w:val="007C4236"/>
    <w:rsid w:val="00831614"/>
    <w:rsid w:val="00860CF2"/>
    <w:rsid w:val="0086118D"/>
    <w:rsid w:val="008909AF"/>
    <w:rsid w:val="008C3D3A"/>
    <w:rsid w:val="008C4A90"/>
    <w:rsid w:val="008D4EE0"/>
    <w:rsid w:val="008D7CA2"/>
    <w:rsid w:val="008F6527"/>
    <w:rsid w:val="008F7CF9"/>
    <w:rsid w:val="009017EA"/>
    <w:rsid w:val="0092075A"/>
    <w:rsid w:val="00920810"/>
    <w:rsid w:val="00926546"/>
    <w:rsid w:val="00974447"/>
    <w:rsid w:val="009B48E3"/>
    <w:rsid w:val="009C052C"/>
    <w:rsid w:val="00A05AF5"/>
    <w:rsid w:val="00A07D74"/>
    <w:rsid w:val="00A14FD2"/>
    <w:rsid w:val="00A43E41"/>
    <w:rsid w:val="00A64471"/>
    <w:rsid w:val="00A870E3"/>
    <w:rsid w:val="00AA2EB5"/>
    <w:rsid w:val="00AB50E7"/>
    <w:rsid w:val="00AD2031"/>
    <w:rsid w:val="00B2094B"/>
    <w:rsid w:val="00B24ECF"/>
    <w:rsid w:val="00B609FB"/>
    <w:rsid w:val="00B73DB7"/>
    <w:rsid w:val="00B73F2A"/>
    <w:rsid w:val="00B9334A"/>
    <w:rsid w:val="00BB0AC7"/>
    <w:rsid w:val="00BB4B7C"/>
    <w:rsid w:val="00BB4BE2"/>
    <w:rsid w:val="00BD18AB"/>
    <w:rsid w:val="00C10D5E"/>
    <w:rsid w:val="00C415D4"/>
    <w:rsid w:val="00C86B60"/>
    <w:rsid w:val="00CF062E"/>
    <w:rsid w:val="00D00EAE"/>
    <w:rsid w:val="00D04680"/>
    <w:rsid w:val="00D11356"/>
    <w:rsid w:val="00D35829"/>
    <w:rsid w:val="00D47A04"/>
    <w:rsid w:val="00D73620"/>
    <w:rsid w:val="00D76DFE"/>
    <w:rsid w:val="00DF1737"/>
    <w:rsid w:val="00E16578"/>
    <w:rsid w:val="00E204AF"/>
    <w:rsid w:val="00E73DB0"/>
    <w:rsid w:val="00E80BCF"/>
    <w:rsid w:val="00EB6D23"/>
    <w:rsid w:val="00EE3857"/>
    <w:rsid w:val="00EF6A55"/>
    <w:rsid w:val="00F659CF"/>
    <w:rsid w:val="00FA2875"/>
    <w:rsid w:val="00FA7EF5"/>
    <w:rsid w:val="00FC3AD7"/>
    <w:rsid w:val="00FC3DCC"/>
    <w:rsid w:val="00FD526E"/>
    <w:rsid w:val="00FD53EE"/>
    <w:rsid w:val="00FE4F08"/>
    <w:rsid w:val="10CB7426"/>
    <w:rsid w:val="149C30E5"/>
    <w:rsid w:val="15914954"/>
    <w:rsid w:val="170E3FC9"/>
    <w:rsid w:val="18B3715C"/>
    <w:rsid w:val="1B262657"/>
    <w:rsid w:val="210F4C96"/>
    <w:rsid w:val="2BFD2BB5"/>
    <w:rsid w:val="2D7F7156"/>
    <w:rsid w:val="2E5762C8"/>
    <w:rsid w:val="30DA03E4"/>
    <w:rsid w:val="33391EBE"/>
    <w:rsid w:val="3DAD378D"/>
    <w:rsid w:val="42790E75"/>
    <w:rsid w:val="467C2E1E"/>
    <w:rsid w:val="470E07E1"/>
    <w:rsid w:val="4D9F5A28"/>
    <w:rsid w:val="62A146A2"/>
    <w:rsid w:val="66237AFF"/>
    <w:rsid w:val="710E57F6"/>
    <w:rsid w:val="729A4048"/>
    <w:rsid w:val="734F4C07"/>
    <w:rsid w:val="788B11A4"/>
    <w:rsid w:val="7932406F"/>
    <w:rsid w:val="7AFE7BDD"/>
    <w:rsid w:val="7BBD6D7D"/>
    <w:rsid w:val="7F3C6D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ind w:firstLine="640" w:firstLineChars="200"/>
      <w:jc w:val="both"/>
    </w:pPr>
    <w:rPr>
      <w:rFonts w:ascii="黑体" w:hAnsi="黑体" w:eastAsia="黑体" w:cs="华文仿宋"/>
      <w:color w:val="333333"/>
      <w:kern w:val="2"/>
      <w:sz w:val="32"/>
      <w:szCs w:val="32"/>
      <w:shd w:val="clear" w:color="auto" w:fill="FFFFFF"/>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napToGrid w:val="0"/>
      <w:kern w:val="0"/>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font41"/>
    <w:basedOn w:val="7"/>
    <w:qFormat/>
    <w:uiPriority w:val="0"/>
    <w:rPr>
      <w:rFonts w:hint="eastAsia" w:ascii="宋体" w:hAnsi="宋体" w:eastAsia="宋体" w:cs="宋体"/>
      <w:color w:val="000000"/>
      <w:sz w:val="18"/>
      <w:szCs w:val="18"/>
      <w:u w:val="none"/>
    </w:rPr>
  </w:style>
  <w:style w:type="character" w:customStyle="1" w:styleId="10">
    <w:name w:val="font51"/>
    <w:basedOn w:val="7"/>
    <w:qFormat/>
    <w:uiPriority w:val="0"/>
    <w:rPr>
      <w:rFonts w:hint="eastAsia" w:ascii="宋体" w:hAnsi="宋体" w:eastAsia="宋体" w:cs="宋体"/>
      <w:color w:val="000000"/>
      <w:sz w:val="18"/>
      <w:szCs w:val="18"/>
      <w:u w:val="none"/>
    </w:rPr>
  </w:style>
  <w:style w:type="character" w:customStyle="1" w:styleId="11">
    <w:name w:val="页眉 Char"/>
    <w:basedOn w:val="7"/>
    <w:link w:val="4"/>
    <w:semiHidden/>
    <w:uiPriority w:val="99"/>
    <w:rPr>
      <w:rFonts w:ascii="仿宋" w:hAnsi="仿宋" w:eastAsia="仿宋" w:cs="Times New Roman"/>
      <w:kern w:val="2"/>
      <w:sz w:val="18"/>
      <w:szCs w:val="18"/>
    </w:rPr>
  </w:style>
  <w:style w:type="paragraph" w:customStyle="1" w:styleId="12">
    <w:name w:val="样式1"/>
    <w:basedOn w:val="4"/>
    <w:link w:val="13"/>
    <w:qFormat/>
    <w:uiPriority w:val="0"/>
    <w:pPr>
      <w:pBdr>
        <w:bottom w:val="none" w:color="auto" w:sz="0" w:space="0"/>
      </w:pBdr>
      <w:ind w:firstLine="360"/>
    </w:pPr>
  </w:style>
  <w:style w:type="character" w:customStyle="1" w:styleId="13">
    <w:name w:val="样式1 Char"/>
    <w:basedOn w:val="11"/>
    <w:link w:val="12"/>
    <w:qFormat/>
    <w:uiPriority w:val="0"/>
    <w:rPr>
      <w:rFonts w:ascii="黑体" w:hAnsi="黑体" w:eastAsia="黑体" w:cs="华文仿宋"/>
      <w:color w:val="333333"/>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D8992-239C-4854-BB5B-F07A8DF8B1CD}">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4</Pages>
  <Words>1279</Words>
  <Characters>1334</Characters>
  <Lines>9</Lines>
  <Paragraphs>2</Paragraphs>
  <TotalTime>6</TotalTime>
  <ScaleCrop>false</ScaleCrop>
  <LinksUpToDate>false</LinksUpToDate>
  <CharactersWithSpaces>1375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2021-08-12T08:49:00Z</dcterms:created>
  <dc:creator>XiaZaiMa.COM</dc:creator>
  <cp:lastModifiedBy>Administrator</cp:lastModifiedBy>
  <cp:lastPrinted>2021-09-26T07:18:00Z</cp:lastPrinted>
  <dcterms:modified xsi:type="dcterms:W3CDTF">2021-09-26T07:25:14Z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